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FF09" w14:textId="77777777" w:rsidR="009934A8" w:rsidRPr="00A22DBF" w:rsidRDefault="009934A8" w:rsidP="009934A8">
      <w:pPr>
        <w:rPr>
          <w:rFonts w:ascii="Arial" w:eastAsia="Times New Roman" w:hAnsi="Arial" w:cs="Arial"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>Location:</w:t>
      </w:r>
      <w:r w:rsidRPr="00A22DBF">
        <w:rPr>
          <w:rFonts w:ascii="Arial" w:eastAsia="Times New Roman" w:hAnsi="Arial" w:cs="Arial"/>
          <w:b/>
          <w:sz w:val="24"/>
          <w:szCs w:val="24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</w:rPr>
        <w:tab/>
        <w:t>Town Office, Council Chambers</w:t>
      </w:r>
    </w:p>
    <w:p w14:paraId="0731A901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</w:rPr>
        <w:tab/>
        <w:t>21 Water Street, 2</w:t>
      </w:r>
      <w:r w:rsidRPr="00A22DBF">
        <w:rPr>
          <w:rFonts w:ascii="Arial" w:eastAsia="Times New Roman" w:hAnsi="Arial" w:cs="Arial"/>
          <w:b/>
          <w:sz w:val="24"/>
          <w:szCs w:val="24"/>
          <w:vertAlign w:val="superscript"/>
        </w:rPr>
        <w:t>nd</w:t>
      </w:r>
      <w:r w:rsidRPr="00A22DBF">
        <w:rPr>
          <w:rFonts w:ascii="Arial" w:eastAsia="Times New Roman" w:hAnsi="Arial" w:cs="Arial"/>
          <w:b/>
          <w:sz w:val="24"/>
          <w:szCs w:val="24"/>
        </w:rPr>
        <w:t xml:space="preserve"> Floor</w:t>
      </w:r>
    </w:p>
    <w:p w14:paraId="172D4FB3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</w:rPr>
      </w:pPr>
    </w:p>
    <w:p w14:paraId="405752AE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>Viewing on: Pioneer Cable – Channel 400</w:t>
      </w:r>
    </w:p>
    <w:p w14:paraId="710BB014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                 Spectrum Cable – Channel 1301 or Channel 7</w:t>
      </w:r>
    </w:p>
    <w:p w14:paraId="686EEB6B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</w:p>
    <w:p w14:paraId="024A6754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bookmarkStart w:id="0" w:name="_Hlk184380619"/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Public Participation thru Zoom: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Meeting ID:  </w:t>
      </w:r>
      <w:r w:rsidRPr="00A22DBF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  <w14:ligatures w14:val="standardContextual"/>
        </w:rPr>
        <w:t>856 7271 4460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       NO PASSCODE NEEDED                                               </w:t>
      </w:r>
    </w:p>
    <w:p w14:paraId="7B6AB3DD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       CALL-IN: 1-929-205-6099</w:t>
      </w:r>
      <w:bookmarkEnd w:id="0"/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</w:t>
      </w:r>
      <w:r w:rsidRPr="00A22DBF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</w:p>
    <w:p w14:paraId="478327E3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</w:t>
      </w:r>
    </w:p>
    <w:p w14:paraId="0D9E10F3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</w:rPr>
      </w:pPr>
    </w:p>
    <w:p w14:paraId="03FCF9D2" w14:textId="77777777" w:rsidR="009934A8" w:rsidRPr="00A22DBF" w:rsidRDefault="009934A8" w:rsidP="009934A8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1B08A1F7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353A4ECF" w14:textId="441B8F69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  <w:highlight w:val="yellow"/>
        </w:rPr>
        <w:t>Special Council Meeting</w:t>
      </w:r>
      <w:r w:rsidRPr="00A22DBF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                     October </w:t>
      </w:r>
      <w:r>
        <w:rPr>
          <w:rFonts w:ascii="Arial" w:eastAsia="Times New Roman" w:hAnsi="Arial" w:cs="Arial"/>
          <w:b/>
          <w:sz w:val="24"/>
          <w:szCs w:val="24"/>
        </w:rPr>
        <w:t>14</w:t>
      </w:r>
      <w:r w:rsidRPr="00A22DBF">
        <w:rPr>
          <w:rFonts w:ascii="Arial" w:eastAsia="Times New Roman" w:hAnsi="Arial" w:cs="Arial"/>
          <w:b/>
          <w:sz w:val="24"/>
          <w:szCs w:val="24"/>
        </w:rPr>
        <w:t>, 2025</w:t>
      </w:r>
    </w:p>
    <w:p w14:paraId="18EE1905" w14:textId="4161E4D4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5:</w:t>
      </w:r>
      <w:r w:rsidR="00E0207B">
        <w:rPr>
          <w:rFonts w:ascii="Arial" w:eastAsia="Times New Roman" w:hAnsi="Arial" w:cs="Arial"/>
          <w:b/>
          <w:sz w:val="24"/>
          <w:szCs w:val="24"/>
        </w:rPr>
        <w:t>3</w:t>
      </w:r>
      <w:r w:rsidRPr="00A22DBF">
        <w:rPr>
          <w:rFonts w:ascii="Arial" w:eastAsia="Times New Roman" w:hAnsi="Arial" w:cs="Arial"/>
          <w:b/>
          <w:sz w:val="24"/>
          <w:szCs w:val="24"/>
        </w:rPr>
        <w:t>0 PM</w:t>
      </w:r>
    </w:p>
    <w:p w14:paraId="014282AD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</w:rPr>
      </w:pPr>
    </w:p>
    <w:p w14:paraId="6F9BE09D" w14:textId="77777777" w:rsidR="009934A8" w:rsidRPr="00A22DBF" w:rsidRDefault="009934A8" w:rsidP="009934A8">
      <w:pPr>
        <w:rPr>
          <w:rFonts w:ascii="Arial" w:eastAsia="Times New Roman" w:hAnsi="Arial" w:cs="Arial"/>
          <w:b/>
          <w:sz w:val="24"/>
          <w:szCs w:val="24"/>
        </w:rPr>
      </w:pPr>
    </w:p>
    <w:p w14:paraId="33F75457" w14:textId="5C27BE27" w:rsidR="009934A8" w:rsidRDefault="009934A8" w:rsidP="009934A8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</w:t>
      </w:r>
      <w:r w:rsidRPr="00A22DBF">
        <w:rPr>
          <w:rFonts w:ascii="Arial" w:eastAsia="Times New Roman" w:hAnsi="Arial" w:cs="Arial"/>
          <w:b/>
          <w:sz w:val="24"/>
          <w:szCs w:val="24"/>
        </w:rPr>
        <w:t>.</w:t>
      </w:r>
      <w:r w:rsidRPr="00A22DBF">
        <w:rPr>
          <w:rFonts w:ascii="Arial" w:eastAsia="Times New Roman" w:hAnsi="Arial" w:cs="Arial"/>
          <w:b/>
          <w:sz w:val="24"/>
          <w:szCs w:val="24"/>
        </w:rPr>
        <w:tab/>
        <w:t>(S100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Pr="00A22DBF">
        <w:rPr>
          <w:rFonts w:ascii="Arial" w:eastAsia="Times New Roman" w:hAnsi="Arial" w:cs="Arial"/>
          <w:b/>
          <w:sz w:val="24"/>
          <w:szCs w:val="24"/>
        </w:rPr>
        <w:t>25-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Pr="00A22DBF">
        <w:rPr>
          <w:rFonts w:ascii="Arial" w:eastAsia="Times New Roman" w:hAnsi="Arial" w:cs="Arial"/>
          <w:b/>
          <w:sz w:val="24"/>
          <w:szCs w:val="24"/>
        </w:rPr>
        <w:t>)</w:t>
      </w:r>
      <w:r w:rsidRPr="00A22DBF">
        <w:rPr>
          <w:rFonts w:ascii="Arial" w:eastAsia="Times New Roman" w:hAnsi="Arial" w:cs="Arial"/>
          <w:b/>
          <w:sz w:val="24"/>
          <w:szCs w:val="24"/>
        </w:rPr>
        <w:tab/>
        <w:t xml:space="preserve">Council enters Executive Session </w:t>
      </w:r>
      <w:r w:rsidR="00A12F9D">
        <w:rPr>
          <w:rFonts w:ascii="Arial" w:eastAsia="Times New Roman" w:hAnsi="Arial" w:cs="Arial"/>
          <w:b/>
          <w:sz w:val="24"/>
          <w:szCs w:val="24"/>
        </w:rPr>
        <w:t xml:space="preserve">with </w:t>
      </w:r>
      <w:r w:rsidRPr="00A22DBF">
        <w:rPr>
          <w:rFonts w:ascii="Arial" w:eastAsia="Times New Roman" w:hAnsi="Arial" w:cs="Arial"/>
          <w:b/>
          <w:sz w:val="24"/>
          <w:szCs w:val="24"/>
        </w:rPr>
        <w:t xml:space="preserve">the Town Manager </w:t>
      </w:r>
      <w:r w:rsidR="00A12F9D">
        <w:rPr>
          <w:rFonts w:ascii="Arial" w:eastAsia="Times New Roman" w:hAnsi="Arial" w:cs="Arial"/>
          <w:b/>
          <w:sz w:val="24"/>
          <w:szCs w:val="24"/>
        </w:rPr>
        <w:t xml:space="preserve">and Attorney Burns of Bernstein Shur via Zoom </w:t>
      </w:r>
      <w:r w:rsidRPr="00A22DBF">
        <w:rPr>
          <w:rFonts w:ascii="Arial" w:eastAsia="Times New Roman" w:hAnsi="Arial" w:cs="Arial"/>
          <w:b/>
          <w:sz w:val="24"/>
          <w:szCs w:val="24"/>
        </w:rPr>
        <w:t xml:space="preserve">for the purpose of discussing </w:t>
      </w:r>
      <w:r w:rsidR="00A12F9D">
        <w:rPr>
          <w:rFonts w:ascii="Arial" w:eastAsia="Times New Roman" w:hAnsi="Arial" w:cs="Arial"/>
          <w:b/>
          <w:sz w:val="24"/>
          <w:szCs w:val="24"/>
        </w:rPr>
        <w:t xml:space="preserve">pending litigation regarding the Town’s </w:t>
      </w:r>
      <w:r w:rsidR="0017352B">
        <w:rPr>
          <w:rFonts w:ascii="Arial" w:eastAsia="Times New Roman" w:hAnsi="Arial" w:cs="Arial"/>
          <w:b/>
          <w:sz w:val="24"/>
          <w:szCs w:val="24"/>
        </w:rPr>
        <w:t>camera</w:t>
      </w:r>
      <w:r w:rsidR="00A12F9D">
        <w:rPr>
          <w:rFonts w:ascii="Arial" w:eastAsia="Times New Roman" w:hAnsi="Arial" w:cs="Arial"/>
          <w:b/>
          <w:sz w:val="24"/>
          <w:szCs w:val="24"/>
        </w:rPr>
        <w:t xml:space="preserve"> system</w:t>
      </w:r>
      <w:r w:rsidRPr="00A22DBF">
        <w:rPr>
          <w:rFonts w:ascii="Arial" w:eastAsia="Times New Roman" w:hAnsi="Arial" w:cs="Arial"/>
          <w:b/>
          <w:sz w:val="24"/>
          <w:szCs w:val="24"/>
        </w:rPr>
        <w:t>, pursuant to MRSA Title 1, Section 405(6)</w:t>
      </w:r>
      <w:r w:rsidR="00A12F9D">
        <w:rPr>
          <w:rFonts w:ascii="Arial" w:eastAsia="Times New Roman" w:hAnsi="Arial" w:cs="Arial"/>
          <w:b/>
          <w:sz w:val="24"/>
          <w:szCs w:val="24"/>
        </w:rPr>
        <w:t>E</w:t>
      </w:r>
      <w:r w:rsidRPr="00A22DBF">
        <w:rPr>
          <w:rFonts w:ascii="Arial" w:eastAsia="Times New Roman" w:hAnsi="Arial" w:cs="Arial"/>
          <w:b/>
          <w:sz w:val="24"/>
          <w:szCs w:val="24"/>
        </w:rPr>
        <w:t>.</w:t>
      </w:r>
    </w:p>
    <w:p w14:paraId="021CD698" w14:textId="77777777" w:rsidR="00A12F9D" w:rsidRDefault="00A12F9D" w:rsidP="009934A8">
      <w:pPr>
        <w:rPr>
          <w:rFonts w:ascii="Arial" w:eastAsia="Times New Roman" w:hAnsi="Arial" w:cs="Arial"/>
          <w:b/>
          <w:sz w:val="24"/>
          <w:szCs w:val="24"/>
        </w:rPr>
      </w:pPr>
    </w:p>
    <w:p w14:paraId="5880CE0F" w14:textId="0FCDE574" w:rsidR="00A12F9D" w:rsidRDefault="00A12F9D" w:rsidP="009934A8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B.</w:t>
      </w:r>
      <w:r>
        <w:rPr>
          <w:rFonts w:ascii="Arial" w:eastAsia="Times New Roman" w:hAnsi="Arial" w:cs="Arial"/>
          <w:b/>
          <w:sz w:val="24"/>
          <w:szCs w:val="24"/>
        </w:rPr>
        <w:tab/>
        <w:t>(S100225-2)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Council </w:t>
      </w:r>
      <w:r w:rsidR="00F82254">
        <w:rPr>
          <w:rFonts w:ascii="Arial" w:eastAsia="Times New Roman" w:hAnsi="Arial" w:cs="Arial"/>
          <w:b/>
          <w:sz w:val="24"/>
          <w:szCs w:val="24"/>
        </w:rPr>
        <w:t xml:space="preserve">agrees to enter into </w:t>
      </w:r>
      <w:r w:rsidR="00E7549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85762" w:rsidRPr="00F82254">
        <w:rPr>
          <w:rFonts w:ascii="Arial" w:eastAsia="Times New Roman" w:hAnsi="Arial" w:cs="Arial"/>
          <w:b/>
          <w:sz w:val="24"/>
          <w:szCs w:val="24"/>
        </w:rPr>
        <w:t>the</w:t>
      </w:r>
      <w:r w:rsidR="0078576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75496">
        <w:rPr>
          <w:rFonts w:ascii="Arial" w:eastAsia="Times New Roman" w:hAnsi="Arial" w:cs="Arial"/>
          <w:b/>
          <w:sz w:val="24"/>
          <w:szCs w:val="24"/>
        </w:rPr>
        <w:t>Settlement Agreement and Release between Mark Lipscombe, Craig Harriman, Patrick Bruce and the Town of Houlton</w:t>
      </w:r>
      <w:r w:rsidR="00012F23">
        <w:rPr>
          <w:rFonts w:ascii="Arial" w:eastAsia="Times New Roman" w:hAnsi="Arial" w:cs="Arial"/>
          <w:b/>
          <w:sz w:val="24"/>
          <w:szCs w:val="24"/>
        </w:rPr>
        <w:t xml:space="preserve"> regarding the Town’s </w:t>
      </w:r>
      <w:r w:rsidR="0017352B">
        <w:rPr>
          <w:rFonts w:ascii="Arial" w:eastAsia="Times New Roman" w:hAnsi="Arial" w:cs="Arial"/>
          <w:b/>
          <w:sz w:val="24"/>
          <w:szCs w:val="24"/>
        </w:rPr>
        <w:t>camera</w:t>
      </w:r>
      <w:r w:rsidR="00012F23">
        <w:rPr>
          <w:rFonts w:ascii="Arial" w:eastAsia="Times New Roman" w:hAnsi="Arial" w:cs="Arial"/>
          <w:b/>
          <w:sz w:val="24"/>
          <w:szCs w:val="24"/>
        </w:rPr>
        <w:t xml:space="preserve"> system</w:t>
      </w:r>
      <w:r w:rsidR="00E75496">
        <w:rPr>
          <w:rFonts w:ascii="Arial" w:eastAsia="Times New Roman" w:hAnsi="Arial" w:cs="Arial"/>
          <w:b/>
          <w:sz w:val="24"/>
          <w:szCs w:val="24"/>
        </w:rPr>
        <w:t>.</w:t>
      </w:r>
    </w:p>
    <w:p w14:paraId="111551C2" w14:textId="77777777" w:rsidR="00E75496" w:rsidRDefault="00E75496" w:rsidP="009934A8">
      <w:pPr>
        <w:rPr>
          <w:rFonts w:ascii="Arial" w:eastAsia="Times New Roman" w:hAnsi="Arial" w:cs="Arial"/>
          <w:b/>
          <w:sz w:val="24"/>
          <w:szCs w:val="24"/>
        </w:rPr>
      </w:pPr>
    </w:p>
    <w:p w14:paraId="4361BE16" w14:textId="507B0477" w:rsidR="00E75496" w:rsidRPr="00A22DBF" w:rsidRDefault="00E75496" w:rsidP="009934A8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C.</w:t>
      </w:r>
      <w:r>
        <w:rPr>
          <w:rFonts w:ascii="Arial" w:eastAsia="Times New Roman" w:hAnsi="Arial" w:cs="Arial"/>
          <w:b/>
          <w:sz w:val="24"/>
          <w:szCs w:val="24"/>
        </w:rPr>
        <w:tab/>
        <w:t>(S100225-3)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Council agrees to </w:t>
      </w:r>
      <w:r w:rsidR="002F1D9E">
        <w:rPr>
          <w:rFonts w:ascii="Arial" w:eastAsia="Times New Roman" w:hAnsi="Arial" w:cs="Arial"/>
          <w:b/>
          <w:sz w:val="24"/>
          <w:szCs w:val="24"/>
        </w:rPr>
        <w:t>discontinue the pre-public period script to be read before the public comment period at Regular Council Meetings.</w:t>
      </w:r>
    </w:p>
    <w:p w14:paraId="326B4F9E" w14:textId="77777777" w:rsidR="009934A8" w:rsidRPr="00A22DBF" w:rsidRDefault="009934A8" w:rsidP="009934A8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22DBF">
        <w:rPr>
          <w:rFonts w:ascii="Arial" w:eastAsia="Times New Roman" w:hAnsi="Arial" w:cs="Arial"/>
          <w:b/>
          <w:sz w:val="24"/>
          <w:szCs w:val="24"/>
        </w:rPr>
        <w:tab/>
      </w:r>
    </w:p>
    <w:p w14:paraId="76C3137E" w14:textId="77777777" w:rsidR="002E4D39" w:rsidRPr="002E4D39" w:rsidRDefault="002E4D39" w:rsidP="002E4D3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4D39">
        <w:rPr>
          <w:rFonts w:ascii="Arial" w:eastAsia="Times New Roman" w:hAnsi="Arial" w:cs="Arial"/>
          <w:b/>
          <w:sz w:val="24"/>
          <w:szCs w:val="24"/>
        </w:rPr>
        <w:t>D.</w:t>
      </w:r>
      <w:r w:rsidRPr="002E4D39">
        <w:rPr>
          <w:rFonts w:ascii="Arial" w:eastAsia="Times New Roman" w:hAnsi="Arial" w:cs="Arial"/>
          <w:b/>
          <w:sz w:val="24"/>
          <w:szCs w:val="24"/>
        </w:rPr>
        <w:tab/>
      </w:r>
      <w:bookmarkStart w:id="1" w:name="_Hlk210891949"/>
      <w:r>
        <w:rPr>
          <w:rFonts w:ascii="Arial" w:eastAsia="Times New Roman" w:hAnsi="Arial" w:cs="Arial"/>
          <w:b/>
          <w:sz w:val="24"/>
          <w:szCs w:val="24"/>
        </w:rPr>
        <w:t>(S100225-4)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2E4D39">
        <w:rPr>
          <w:rFonts w:ascii="Arial" w:eastAsia="Times New Roman" w:hAnsi="Arial" w:cs="Arial"/>
          <w:b/>
          <w:sz w:val="24"/>
          <w:szCs w:val="24"/>
        </w:rPr>
        <w:t>The Town of Houlton ordains that Chapter 7 General Assistance Appendix A, B, C, D, E, F, G and H dated October 1, 2024 to September 30, 2025 of the Houlton Code be replaced with General Assistance Appendix A, B, C, D, E, F, G and H dated October 1, 2025 to September 30, 2026. (Note: The document in its entirety is available at the Town Office during normal business hours.)</w:t>
      </w:r>
    </w:p>
    <w:p w14:paraId="34CFC275" w14:textId="77777777" w:rsidR="002E4D39" w:rsidRPr="002E4D39" w:rsidRDefault="002E4D39" w:rsidP="002E4D3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4D39">
        <w:rPr>
          <w:rFonts w:ascii="Arial" w:eastAsia="Times New Roman" w:hAnsi="Arial" w:cs="Arial"/>
          <w:b/>
          <w:sz w:val="24"/>
          <w:szCs w:val="24"/>
        </w:rPr>
        <w:tab/>
        <w:t>Appendix A – Total Monthly Allowed GA Maximums</w:t>
      </w:r>
    </w:p>
    <w:p w14:paraId="2163DBBF" w14:textId="77777777" w:rsidR="002E4D39" w:rsidRPr="002E4D39" w:rsidRDefault="002E4D39" w:rsidP="002E4D3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4D39">
        <w:rPr>
          <w:rFonts w:ascii="Arial" w:eastAsia="Times New Roman" w:hAnsi="Arial" w:cs="Arial"/>
          <w:b/>
          <w:sz w:val="24"/>
          <w:szCs w:val="24"/>
        </w:rPr>
        <w:tab/>
        <w:t>Appendix B</w:t>
      </w:r>
      <w:r w:rsidRPr="002E4D39">
        <w:rPr>
          <w:rFonts w:ascii="Arial" w:eastAsia="Times New Roman" w:hAnsi="Arial" w:cs="Arial"/>
          <w:b/>
          <w:sz w:val="24"/>
          <w:szCs w:val="24"/>
        </w:rPr>
        <w:tab/>
        <w:t>– Food Maximums</w:t>
      </w:r>
    </w:p>
    <w:p w14:paraId="0EF1EEAE" w14:textId="77777777" w:rsidR="002E4D39" w:rsidRPr="002E4D39" w:rsidRDefault="002E4D39" w:rsidP="002E4D3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4D39">
        <w:rPr>
          <w:rFonts w:ascii="Arial" w:eastAsia="Times New Roman" w:hAnsi="Arial" w:cs="Arial"/>
          <w:b/>
          <w:sz w:val="24"/>
          <w:szCs w:val="24"/>
        </w:rPr>
        <w:tab/>
        <w:t>Appendix C – Housing Maximums</w:t>
      </w:r>
    </w:p>
    <w:p w14:paraId="725E36D7" w14:textId="77777777" w:rsidR="002E4D39" w:rsidRPr="002E4D39" w:rsidRDefault="002E4D39" w:rsidP="002E4D3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4D39">
        <w:rPr>
          <w:rFonts w:ascii="Arial" w:eastAsia="Times New Roman" w:hAnsi="Arial" w:cs="Arial"/>
          <w:b/>
          <w:sz w:val="24"/>
          <w:szCs w:val="24"/>
        </w:rPr>
        <w:tab/>
        <w:t>Appendix D – Utilities</w:t>
      </w:r>
    </w:p>
    <w:p w14:paraId="236AC7B3" w14:textId="77777777" w:rsidR="002E4D39" w:rsidRPr="002E4D39" w:rsidRDefault="002E4D39" w:rsidP="002E4D3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4D39">
        <w:rPr>
          <w:rFonts w:ascii="Arial" w:eastAsia="Times New Roman" w:hAnsi="Arial" w:cs="Arial"/>
          <w:b/>
          <w:sz w:val="24"/>
          <w:szCs w:val="24"/>
        </w:rPr>
        <w:tab/>
        <w:t>Appendix E – Heating Fuel</w:t>
      </w:r>
    </w:p>
    <w:p w14:paraId="527BDF97" w14:textId="77777777" w:rsidR="002E4D39" w:rsidRPr="002E4D39" w:rsidRDefault="002E4D39" w:rsidP="002E4D3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4D39">
        <w:rPr>
          <w:rFonts w:ascii="Arial" w:eastAsia="Times New Roman" w:hAnsi="Arial" w:cs="Arial"/>
          <w:b/>
          <w:sz w:val="24"/>
          <w:szCs w:val="24"/>
        </w:rPr>
        <w:tab/>
        <w:t>Appendix F – Personal Care &amp; Household</w:t>
      </w:r>
    </w:p>
    <w:p w14:paraId="753D7B38" w14:textId="77777777" w:rsidR="002E4D39" w:rsidRPr="002E4D39" w:rsidRDefault="002E4D39" w:rsidP="002E4D3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4D39">
        <w:rPr>
          <w:rFonts w:ascii="Arial" w:eastAsia="Times New Roman" w:hAnsi="Arial" w:cs="Arial"/>
          <w:b/>
          <w:sz w:val="24"/>
          <w:szCs w:val="24"/>
        </w:rPr>
        <w:tab/>
        <w:t>Appendix G – Mileage Rate</w:t>
      </w:r>
    </w:p>
    <w:p w14:paraId="52AD0B9A" w14:textId="77777777" w:rsidR="002E4D39" w:rsidRPr="002E4D39" w:rsidRDefault="002E4D39" w:rsidP="002E4D3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4D39">
        <w:rPr>
          <w:rFonts w:ascii="Arial" w:eastAsia="Times New Roman" w:hAnsi="Arial" w:cs="Arial"/>
          <w:b/>
          <w:sz w:val="24"/>
          <w:szCs w:val="24"/>
        </w:rPr>
        <w:tab/>
        <w:t>Appendix H – Funeral Maximums</w:t>
      </w:r>
    </w:p>
    <w:p w14:paraId="59DA3B36" w14:textId="42C89369" w:rsidR="009934A8" w:rsidRPr="002E4D39" w:rsidRDefault="002E4D39" w:rsidP="009934A8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(Introduction)</w:t>
      </w:r>
      <w:r w:rsidRPr="002E4D39">
        <w:rPr>
          <w:rFonts w:ascii="Arial" w:eastAsia="Times New Roman" w:hAnsi="Arial" w:cs="Arial"/>
          <w:b/>
          <w:sz w:val="24"/>
          <w:szCs w:val="24"/>
        </w:rPr>
        <w:tab/>
      </w:r>
    </w:p>
    <w:bookmarkEnd w:id="1"/>
    <w:p w14:paraId="241E6627" w14:textId="77777777" w:rsidR="009934A8" w:rsidRPr="00A22DBF" w:rsidRDefault="009934A8" w:rsidP="009934A8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6345356" w14:textId="3EE345A5" w:rsidR="00E67FB9" w:rsidRPr="002E4D39" w:rsidRDefault="009934A8" w:rsidP="002E4D39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22DBF">
        <w:rPr>
          <w:rFonts w:ascii="Arial" w:eastAsia="Times New Roman" w:hAnsi="Arial" w:cs="Arial"/>
          <w:b/>
          <w:sz w:val="24"/>
          <w:szCs w:val="24"/>
          <w:u w:val="single"/>
        </w:rPr>
        <w:t>Adjournment</w:t>
      </w:r>
    </w:p>
    <w:sectPr w:rsidR="00E67FB9" w:rsidRPr="002E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A8"/>
    <w:rsid w:val="00012F23"/>
    <w:rsid w:val="0017352B"/>
    <w:rsid w:val="001B13DE"/>
    <w:rsid w:val="002E4D39"/>
    <w:rsid w:val="002F1D9E"/>
    <w:rsid w:val="00785762"/>
    <w:rsid w:val="007B4774"/>
    <w:rsid w:val="008A0734"/>
    <w:rsid w:val="009934A8"/>
    <w:rsid w:val="00A12F9D"/>
    <w:rsid w:val="00D14EBF"/>
    <w:rsid w:val="00D80B4C"/>
    <w:rsid w:val="00E0207B"/>
    <w:rsid w:val="00E67FB9"/>
    <w:rsid w:val="00E75496"/>
    <w:rsid w:val="00F8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9724"/>
  <w15:chartTrackingRefBased/>
  <w15:docId w15:val="{4DF562F9-0B61-43AA-83AB-786D5B64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4A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4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4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4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4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4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4A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4A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4A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4A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4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4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4A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4A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4A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4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4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8</cp:revision>
  <cp:lastPrinted>2025-10-09T19:54:00Z</cp:lastPrinted>
  <dcterms:created xsi:type="dcterms:W3CDTF">2025-10-09T11:55:00Z</dcterms:created>
  <dcterms:modified xsi:type="dcterms:W3CDTF">2025-10-09T19:56:00Z</dcterms:modified>
</cp:coreProperties>
</file>